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5128" w14:textId="77777777" w:rsidR="00641F65" w:rsidRDefault="00641F65" w:rsidP="00641F65">
      <w:pPr>
        <w:pStyle w:val="Style12"/>
        <w:widowControl/>
        <w:spacing w:line="276" w:lineRule="auto"/>
        <w:jc w:val="both"/>
        <w:rPr>
          <w:rStyle w:val="FontStyle43"/>
          <w:rFonts w:ascii="Tahoma" w:hAnsi="Tahoma" w:cs="Tahoma"/>
          <w:sz w:val="18"/>
          <w:szCs w:val="18"/>
        </w:rPr>
      </w:pPr>
    </w:p>
    <w:p w14:paraId="0C0E667E" w14:textId="7D7A5D66" w:rsidR="00641F65" w:rsidRDefault="00641F65" w:rsidP="00641F65">
      <w:pPr>
        <w:pStyle w:val="Style12"/>
        <w:widowControl/>
        <w:spacing w:line="276" w:lineRule="auto"/>
        <w:jc w:val="both"/>
        <w:rPr>
          <w:rStyle w:val="FontStyle43"/>
          <w:rFonts w:ascii="Tahoma" w:hAnsi="Tahoma" w:cs="Tahoma"/>
          <w:b/>
          <w:sz w:val="16"/>
          <w:szCs w:val="16"/>
        </w:rPr>
      </w:pPr>
      <w:r w:rsidRPr="00B44D2C">
        <w:rPr>
          <w:rStyle w:val="FontStyle43"/>
          <w:rFonts w:ascii="Tahoma" w:hAnsi="Tahoma" w:cs="Tahoma"/>
          <w:sz w:val="16"/>
          <w:szCs w:val="16"/>
        </w:rPr>
        <w:t>pieczęć firmowa</w:t>
      </w:r>
      <w:r>
        <w:rPr>
          <w:rStyle w:val="FontStyle43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7407B">
        <w:rPr>
          <w:rStyle w:val="FontStyle43"/>
          <w:rFonts w:ascii="Tahoma" w:hAnsi="Tahoma" w:cs="Tahoma"/>
          <w:b/>
          <w:sz w:val="16"/>
          <w:szCs w:val="16"/>
        </w:rPr>
        <w:t>załącznik nr 1</w:t>
      </w:r>
    </w:p>
    <w:p w14:paraId="5A5E1B9F" w14:textId="77777777" w:rsidR="00641F65" w:rsidRPr="00B44D2C" w:rsidRDefault="00641F65" w:rsidP="00641F65">
      <w:pPr>
        <w:pStyle w:val="Style12"/>
        <w:widowControl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F7EA619" w14:textId="77777777" w:rsidR="00641F65" w:rsidRPr="00641F65" w:rsidRDefault="00641F65" w:rsidP="00641F65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</w:rPr>
      </w:pPr>
      <w:r w:rsidRPr="00641F65">
        <w:rPr>
          <w:rStyle w:val="FontStyle35"/>
          <w:rFonts w:ascii="Tahoma" w:hAnsi="Tahoma" w:cs="Tahoma"/>
        </w:rPr>
        <w:t xml:space="preserve">F O R M U L A R Z   C E N O W Y – O </w:t>
      </w:r>
      <w:r w:rsidRPr="00641F65">
        <w:rPr>
          <w:rStyle w:val="FontStyle43"/>
          <w:rFonts w:ascii="Tahoma" w:hAnsi="Tahoma" w:cs="Tahoma"/>
          <w:sz w:val="28"/>
          <w:szCs w:val="28"/>
        </w:rPr>
        <w:t xml:space="preserve">F </w:t>
      </w:r>
      <w:r w:rsidRPr="00641F65">
        <w:rPr>
          <w:rStyle w:val="FontStyle35"/>
          <w:rFonts w:ascii="Tahoma" w:hAnsi="Tahoma" w:cs="Tahoma"/>
        </w:rPr>
        <w:t xml:space="preserve">E R T A </w:t>
      </w:r>
    </w:p>
    <w:p w14:paraId="58B6DB02" w14:textId="77777777" w:rsidR="00641F65" w:rsidRDefault="00641F65" w:rsidP="00641F65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5265A9"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1D76BA">
        <w:rPr>
          <w:rFonts w:ascii="Tahoma" w:hAnsi="Tahoma" w:cs="Tahoma"/>
          <w:sz w:val="22"/>
          <w:szCs w:val="22"/>
        </w:rPr>
        <w:t>DIR/1016/</w:t>
      </w:r>
      <w:proofErr w:type="spellStart"/>
      <w:r w:rsidRPr="001D76BA">
        <w:rPr>
          <w:rFonts w:ascii="Tahoma" w:hAnsi="Tahoma" w:cs="Tahoma"/>
          <w:sz w:val="22"/>
          <w:szCs w:val="22"/>
        </w:rPr>
        <w:t>AGi</w:t>
      </w:r>
      <w:proofErr w:type="spellEnd"/>
      <w:r w:rsidRPr="001D76BA">
        <w:rPr>
          <w:rFonts w:ascii="Tahoma" w:hAnsi="Tahoma" w:cs="Tahoma"/>
          <w:sz w:val="22"/>
          <w:szCs w:val="22"/>
        </w:rPr>
        <w:t>/ZO/43/12/2020/1643</w:t>
      </w:r>
    </w:p>
    <w:p w14:paraId="79FCB1F7" w14:textId="77777777" w:rsidR="00641F65" w:rsidRPr="005265A9" w:rsidRDefault="00641F65" w:rsidP="00641F65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14:paraId="6E44538E" w14:textId="77777777" w:rsidR="00641F65" w:rsidRDefault="00641F65" w:rsidP="00641F6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</w:t>
      </w:r>
    </w:p>
    <w:p w14:paraId="4E464E1E" w14:textId="77777777" w:rsidR="00641F65" w:rsidRDefault="00641F65" w:rsidP="00641F6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</w:t>
      </w:r>
    </w:p>
    <w:p w14:paraId="7A2FC583" w14:textId="77777777" w:rsidR="00641F65" w:rsidRDefault="00641F65" w:rsidP="00641F6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Telefon..........................................</w:t>
      </w:r>
    </w:p>
    <w:p w14:paraId="15B93305" w14:textId="77777777" w:rsidR="00641F65" w:rsidRDefault="00641F65" w:rsidP="00641F6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e-mail.....................................</w:t>
      </w:r>
    </w:p>
    <w:p w14:paraId="7CE7072D" w14:textId="77777777" w:rsidR="00641F65" w:rsidRPr="00F46290" w:rsidRDefault="00641F65" w:rsidP="00641F65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</w:p>
    <w:p w14:paraId="460B4AAD" w14:textId="77777777" w:rsidR="00641F65" w:rsidRPr="00727B3D" w:rsidRDefault="00641F65" w:rsidP="00641F65">
      <w:pPr>
        <w:pStyle w:val="Style9"/>
        <w:widowControl/>
        <w:spacing w:line="276" w:lineRule="auto"/>
        <w:jc w:val="both"/>
        <w:rPr>
          <w:rStyle w:val="FontStyle33"/>
          <w:rFonts w:ascii="Tahoma" w:hAnsi="Tahoma" w:cs="Tahoma"/>
          <w:sz w:val="22"/>
          <w:szCs w:val="22"/>
        </w:rPr>
      </w:pP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>Ofer</w:t>
      </w:r>
      <w:r>
        <w:rPr>
          <w:rStyle w:val="FontStyle33"/>
          <w:rFonts w:ascii="Tahoma" w:hAnsi="Tahoma" w:cs="Tahoma"/>
          <w:b w:val="0"/>
          <w:sz w:val="22"/>
          <w:szCs w:val="22"/>
        </w:rPr>
        <w:t>ujemy</w:t>
      </w: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 xml:space="preserve"> </w:t>
      </w:r>
      <w:r>
        <w:rPr>
          <w:rStyle w:val="FontStyle33"/>
          <w:rFonts w:ascii="Tahoma" w:hAnsi="Tahoma" w:cs="Tahoma"/>
          <w:sz w:val="22"/>
          <w:szCs w:val="22"/>
        </w:rPr>
        <w:t>u</w:t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sługi geodezyjne polegające na inwentaryzacji powykonawczej sieci wodociągowych i kanalizacyjnych oraz przyłączy wodociągowych </w:t>
      </w:r>
      <w:r>
        <w:rPr>
          <w:rStyle w:val="FontStyle33"/>
          <w:rFonts w:ascii="Tahoma" w:hAnsi="Tahoma" w:cs="Tahoma"/>
          <w:sz w:val="22"/>
          <w:szCs w:val="22"/>
        </w:rPr>
        <w:br/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i </w:t>
      </w:r>
      <w:r>
        <w:rPr>
          <w:rStyle w:val="FontStyle33"/>
          <w:rFonts w:ascii="Tahoma" w:hAnsi="Tahoma" w:cs="Tahoma"/>
          <w:sz w:val="22"/>
          <w:szCs w:val="22"/>
        </w:rPr>
        <w:t>k</w:t>
      </w:r>
      <w:r w:rsidRPr="00727B3D">
        <w:rPr>
          <w:rStyle w:val="FontStyle33"/>
          <w:rFonts w:ascii="Tahoma" w:hAnsi="Tahoma" w:cs="Tahoma"/>
          <w:sz w:val="22"/>
          <w:szCs w:val="22"/>
        </w:rPr>
        <w:t>analizacyjnych wykonywanych na terenie działania Spółki Komunalnej „Dorzecze Białej" Sp. z o.o. w 20</w:t>
      </w:r>
      <w:r>
        <w:rPr>
          <w:rStyle w:val="FontStyle33"/>
          <w:rFonts w:ascii="Tahoma" w:hAnsi="Tahoma" w:cs="Tahoma"/>
          <w:sz w:val="22"/>
          <w:szCs w:val="22"/>
        </w:rPr>
        <w:t>21</w:t>
      </w:r>
      <w:r w:rsidRPr="00727B3D">
        <w:rPr>
          <w:rStyle w:val="FontStyle33"/>
          <w:rFonts w:ascii="Tahoma" w:hAnsi="Tahoma" w:cs="Tahoma"/>
          <w:sz w:val="22"/>
          <w:szCs w:val="22"/>
        </w:rPr>
        <w:t>r</w:t>
      </w:r>
      <w:r>
        <w:rPr>
          <w:rStyle w:val="FontStyle33"/>
          <w:rFonts w:ascii="Tahoma" w:hAnsi="Tahoma" w:cs="Tahoma"/>
          <w:sz w:val="22"/>
          <w:szCs w:val="22"/>
        </w:rPr>
        <w:t xml:space="preserve">. </w:t>
      </w:r>
      <w:r w:rsidRPr="0069070B">
        <w:rPr>
          <w:rStyle w:val="FontStyle33"/>
          <w:rFonts w:ascii="Tahoma" w:hAnsi="Tahoma" w:cs="Tahoma"/>
          <w:b w:val="0"/>
          <w:sz w:val="22"/>
          <w:szCs w:val="22"/>
        </w:rPr>
        <w:t>za kwotę:</w:t>
      </w:r>
    </w:p>
    <w:p w14:paraId="3A3C961B" w14:textId="77777777" w:rsidR="00641F65" w:rsidRPr="00F46290" w:rsidRDefault="00641F65" w:rsidP="00641F65">
      <w:pPr>
        <w:spacing w:line="276" w:lineRule="auto"/>
        <w:ind w:firstLine="826"/>
        <w:jc w:val="both"/>
        <w:rPr>
          <w:rFonts w:ascii="Tahoma" w:hAnsi="Tahoma" w:cs="Tahoma"/>
        </w:rPr>
      </w:pPr>
    </w:p>
    <w:tbl>
      <w:tblPr>
        <w:tblW w:w="95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30"/>
        <w:gridCol w:w="754"/>
        <w:gridCol w:w="941"/>
        <w:gridCol w:w="1368"/>
        <w:gridCol w:w="1512"/>
      </w:tblGrid>
      <w:tr w:rsidR="00641F65" w:rsidRPr="00727B3D" w14:paraId="180F38CF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59AF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5A2D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Rodzaj wykonanej pracy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54C0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Jedn.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32E1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8F39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3AFF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 xml:space="preserve">Cena brutto (wg. </w:t>
            </w:r>
            <w:r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s</w:t>
            </w: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tawki VAT 23%)</w:t>
            </w:r>
          </w:p>
        </w:tc>
      </w:tr>
      <w:tr w:rsidR="00641F65" w:rsidRPr="00727B3D" w14:paraId="2610F293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0D75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1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F414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9469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3E43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5A11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3430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22FD4738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C2C6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2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09D0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za każde następne rozpoczęte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28FB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1CC5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8783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D2E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56E39DCF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EA16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3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376C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kanalizacyjnej pierwsza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s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tudzienka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CD26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1D5E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94EF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8357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159FA95C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FC1E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4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F6A5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sieci kan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alizacyjnej następne studzienki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F994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49E2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0F88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C998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39792641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D96F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5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34D7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przyłącza wodociągowego lub kanalizacyjnego 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FAD1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EE2E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34C6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681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22ECC9B1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5AF6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6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76EB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przyłącza wodociągowego lub kanalizacyjnego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powyżej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F068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BA38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DA87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1AE7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523A44CD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407F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146FD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przyłączy wod.-kan. u jednego inwestora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gdzie każde z przyłączy ma poniżej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45AE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0219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369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F42D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641F65" w:rsidRPr="00727B3D" w14:paraId="11549B81" w14:textId="77777777" w:rsidTr="00955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603D" w14:textId="77777777" w:rsidR="00641F65" w:rsidRPr="00727B3D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CFFD" w14:textId="77777777" w:rsidR="00641F65" w:rsidRPr="008565AC" w:rsidRDefault="00641F65" w:rsidP="00955860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przyłączy wod.-kan. u jednego inwestora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gzie przynajmniej jedno przyłącze ma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powyżej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EFDB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8152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FBAE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3AB2" w14:textId="77777777" w:rsidR="00641F65" w:rsidRPr="00727B3D" w:rsidRDefault="00641F65" w:rsidP="00955860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</w:tbl>
    <w:p w14:paraId="75DE595C" w14:textId="77777777" w:rsidR="00641F65" w:rsidRPr="00F46290" w:rsidRDefault="00641F65" w:rsidP="00641F65">
      <w:pPr>
        <w:spacing w:line="276" w:lineRule="auto"/>
        <w:ind w:firstLine="826"/>
        <w:jc w:val="both"/>
        <w:rPr>
          <w:rFonts w:ascii="Tahoma" w:hAnsi="Tahoma" w:cs="Tahoma"/>
        </w:rPr>
        <w:sectPr w:rsidR="00641F65" w:rsidRPr="00F46290" w:rsidSect="00C32832">
          <w:footerReference w:type="default" r:id="rId7"/>
          <w:headerReference w:type="first" r:id="rId8"/>
          <w:footerReference w:type="first" r:id="rId9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6E1712C8" w14:textId="77777777" w:rsidR="00641F65" w:rsidRPr="00F46290" w:rsidRDefault="00641F65" w:rsidP="00641F65">
      <w:pPr>
        <w:pStyle w:val="Style9"/>
        <w:widowControl/>
        <w:spacing w:line="276" w:lineRule="auto"/>
        <w:jc w:val="both"/>
        <w:rPr>
          <w:rStyle w:val="FontStyle42"/>
          <w:rFonts w:ascii="Tahoma" w:hAnsi="Tahoma" w:cs="Tahoma"/>
        </w:rPr>
      </w:pPr>
    </w:p>
    <w:p w14:paraId="0638864F" w14:textId="77777777" w:rsidR="00641F65" w:rsidRPr="00E02039" w:rsidRDefault="00641F65" w:rsidP="00641F6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/>
          <w:iCs/>
        </w:rPr>
      </w:pPr>
      <w:r w:rsidRPr="00E02039">
        <w:rPr>
          <w:rStyle w:val="FontStyle42"/>
          <w:rFonts w:ascii="Tahoma" w:hAnsi="Tahoma" w:cs="Tahoma"/>
          <w:i w:val="0"/>
        </w:rPr>
        <w:t xml:space="preserve">Zamówienie zrealizujemy w terminie </w:t>
      </w:r>
      <w:r w:rsidRPr="00CD57F0">
        <w:rPr>
          <w:rStyle w:val="FontStyle42"/>
          <w:rFonts w:ascii="Tahoma" w:hAnsi="Tahoma" w:cs="Tahoma"/>
          <w:b/>
          <w:bCs/>
          <w:i w:val="0"/>
        </w:rPr>
        <w:t>od 01.01.2021r.</w:t>
      </w:r>
      <w:r w:rsidRPr="00E02039">
        <w:rPr>
          <w:rStyle w:val="FontStyle42"/>
          <w:rFonts w:ascii="Tahoma" w:hAnsi="Tahoma" w:cs="Tahoma"/>
          <w:i w:val="0"/>
        </w:rPr>
        <w:t xml:space="preserve"> </w:t>
      </w:r>
      <w:r w:rsidRPr="001C17F0">
        <w:rPr>
          <w:rStyle w:val="FontStyle42"/>
          <w:rFonts w:ascii="Tahoma" w:hAnsi="Tahoma" w:cs="Tahoma"/>
          <w:b/>
          <w:i w:val="0"/>
        </w:rPr>
        <w:t>31.12.20</w:t>
      </w:r>
      <w:r>
        <w:rPr>
          <w:rStyle w:val="FontStyle42"/>
          <w:rFonts w:ascii="Tahoma" w:hAnsi="Tahoma" w:cs="Tahoma"/>
          <w:b/>
          <w:i w:val="0"/>
        </w:rPr>
        <w:t>21</w:t>
      </w:r>
      <w:r w:rsidRPr="001C17F0">
        <w:rPr>
          <w:rStyle w:val="FontStyle42"/>
          <w:rFonts w:ascii="Tahoma" w:hAnsi="Tahoma" w:cs="Tahoma"/>
          <w:b/>
          <w:i w:val="0"/>
        </w:rPr>
        <w:t>r.</w:t>
      </w:r>
    </w:p>
    <w:p w14:paraId="41853DB8" w14:textId="77777777" w:rsidR="00641F65" w:rsidRPr="00727B3D" w:rsidRDefault="00641F65" w:rsidP="00641F6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w cenie naszej oferty zostały uwzględnione wszystkie koszty wykonania zamówienia.</w:t>
      </w:r>
    </w:p>
    <w:p w14:paraId="2F9D9E73" w14:textId="77777777" w:rsidR="00641F65" w:rsidRPr="00727B3D" w:rsidRDefault="00641F65" w:rsidP="00641F6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W przypadku wyboru naszej oferty podpiszemy umowę na warunkach nie mniej korzystnych dla Zamawiającego, w terminie zapr</w:t>
      </w:r>
      <w:r>
        <w:rPr>
          <w:rStyle w:val="FontStyle43"/>
          <w:rFonts w:ascii="Tahoma" w:hAnsi="Tahoma" w:cs="Tahoma"/>
        </w:rPr>
        <w:t>oponowanym przez Zamawiającego.</w:t>
      </w:r>
    </w:p>
    <w:p w14:paraId="4CD47D1D" w14:textId="77777777" w:rsidR="00641F65" w:rsidRPr="00727B3D" w:rsidRDefault="00641F65" w:rsidP="00641F6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14:paraId="0ED0AB7D" w14:textId="77777777" w:rsidR="00641F65" w:rsidRPr="003F009E" w:rsidRDefault="00641F65" w:rsidP="00641F6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posiadamy niezbędną wiedzę, doświadczenie i uprawnienia do wykonywania tego rodzaju prac. W załączeniu przedkładamy uwierzytelnione kopie uprawnień do wykonywania prac geodezyjnych.</w:t>
      </w:r>
    </w:p>
    <w:p w14:paraId="764F87BD" w14:textId="77777777" w:rsidR="00641F65" w:rsidRDefault="00641F65" w:rsidP="00641F6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ofertą przez okres 30 dni od dnia otwarcia ofert.</w:t>
      </w:r>
    </w:p>
    <w:p w14:paraId="641759BD" w14:textId="77777777" w:rsidR="00641F65" w:rsidRPr="00703B48" w:rsidRDefault="00641F65" w:rsidP="00641F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6EDAA011" w14:textId="77777777" w:rsidR="00641F65" w:rsidRPr="003F009E" w:rsidRDefault="00641F65" w:rsidP="00641F65">
      <w:pPr>
        <w:spacing w:line="276" w:lineRule="auto"/>
        <w:ind w:left="720"/>
        <w:jc w:val="both"/>
        <w:rPr>
          <w:rStyle w:val="FontStyle43"/>
          <w:rFonts w:ascii="Tahoma" w:hAnsi="Tahoma" w:cs="Tahoma"/>
        </w:rPr>
      </w:pPr>
    </w:p>
    <w:p w14:paraId="543BA868" w14:textId="77777777" w:rsidR="00641F65" w:rsidRPr="00F46290" w:rsidRDefault="00641F65" w:rsidP="00641F6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0FB87DEB" w14:textId="77777777" w:rsidR="00641F65" w:rsidRPr="00F46290" w:rsidRDefault="00641F65" w:rsidP="00641F6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>…………………………….</w:t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  <w:t xml:space="preserve">              …….………………………</w:t>
      </w:r>
    </w:p>
    <w:p w14:paraId="33C35592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14:paraId="67B69A87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63531ABC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06359B82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519B6B58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5271F3BF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78A0CBFD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4BBE8E70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686B3D52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751C5C6F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5C1312DF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62C7DB49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28347D67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00BB91E4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36D89785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2E398BEE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70B9FAC1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29D5C164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0868D5CD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38DEBCFD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5405137F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61C9C3F4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146F5929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0EBC347E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65367AE5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76159B13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35EB19B8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17467E64" w14:textId="77777777" w:rsidR="00641F65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1E00F99A" w14:textId="77777777" w:rsidR="00641F65" w:rsidRPr="00F46290" w:rsidRDefault="00641F65" w:rsidP="00641F6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15944199" w14:textId="77777777" w:rsidR="00132331" w:rsidRDefault="00132331"/>
    <w:sectPr w:rsidR="00132331" w:rsidSect="006E515F">
      <w:type w:val="continuous"/>
      <w:pgSz w:w="11905" w:h="16837"/>
      <w:pgMar w:top="1417" w:right="1417" w:bottom="1417" w:left="1417" w:header="708" w:footer="708" w:gutter="0"/>
      <w:cols w:space="365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99BC" w14:textId="77777777" w:rsidR="00641F65" w:rsidRDefault="00641F65" w:rsidP="00641F65">
      <w:pPr>
        <w:spacing w:after="0" w:line="240" w:lineRule="auto"/>
      </w:pPr>
      <w:r>
        <w:separator/>
      </w:r>
    </w:p>
  </w:endnote>
  <w:endnote w:type="continuationSeparator" w:id="0">
    <w:p w14:paraId="63947480" w14:textId="77777777" w:rsidR="00641F65" w:rsidRDefault="00641F65" w:rsidP="0064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Calibri"/>
    <w:charset w:val="EE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905E" w14:textId="77777777" w:rsidR="00641F65" w:rsidRDefault="00641F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4A23858" w14:textId="77777777" w:rsidR="00641F65" w:rsidRDefault="00641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1603"/>
      <w:gridCol w:w="1654"/>
      <w:gridCol w:w="1813"/>
      <w:gridCol w:w="1515"/>
      <w:gridCol w:w="1667"/>
      <w:gridCol w:w="1602"/>
    </w:tblGrid>
    <w:tr w:rsidR="00641F65" w14:paraId="5D78F21A" w14:textId="77777777" w:rsidTr="005135D0">
      <w:tc>
        <w:tcPr>
          <w:tcW w:w="1603" w:type="dxa"/>
          <w:tcBorders>
            <w:top w:val="single" w:sz="4" w:space="0" w:color="auto"/>
          </w:tcBorders>
        </w:tcPr>
        <w:p w14:paraId="1B761307" w14:textId="77777777" w:rsidR="00641F65" w:rsidRDefault="00641F65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  <w:tc>
        <w:tcPr>
          <w:tcW w:w="1654" w:type="dxa"/>
          <w:tcBorders>
            <w:top w:val="single" w:sz="4" w:space="0" w:color="auto"/>
          </w:tcBorders>
        </w:tcPr>
        <w:p w14:paraId="1BC4A6A6" w14:textId="6130FB5E" w:rsidR="00641F65" w:rsidRDefault="00641F6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16C9B665" wp14:editId="67C08EBE">
                <wp:extent cx="3429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Tuchów</w:t>
          </w:r>
        </w:p>
      </w:tc>
      <w:tc>
        <w:tcPr>
          <w:tcW w:w="1813" w:type="dxa"/>
          <w:tcBorders>
            <w:top w:val="single" w:sz="4" w:space="0" w:color="auto"/>
          </w:tcBorders>
        </w:tcPr>
        <w:p w14:paraId="6239DD22" w14:textId="4FF7899C" w:rsidR="00641F65" w:rsidRDefault="00641F6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5366FD02" wp14:editId="57E6E54C">
                <wp:extent cx="37147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Ciężkowice</w:t>
          </w:r>
        </w:p>
      </w:tc>
      <w:tc>
        <w:tcPr>
          <w:tcW w:w="1515" w:type="dxa"/>
          <w:tcBorders>
            <w:top w:val="single" w:sz="4" w:space="0" w:color="auto"/>
          </w:tcBorders>
        </w:tcPr>
        <w:p w14:paraId="60E54F58" w14:textId="5F47C9C3" w:rsidR="00641F65" w:rsidRDefault="00641F6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31051809" wp14:editId="49410ACA">
                <wp:extent cx="40957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Ryglice</w:t>
          </w:r>
        </w:p>
      </w:tc>
      <w:tc>
        <w:tcPr>
          <w:tcW w:w="1667" w:type="dxa"/>
          <w:tcBorders>
            <w:top w:val="single" w:sz="4" w:space="0" w:color="auto"/>
          </w:tcBorders>
        </w:tcPr>
        <w:p w14:paraId="5821D5AF" w14:textId="11689C65" w:rsidR="00641F65" w:rsidRDefault="00641F6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2B77D0BC" wp14:editId="62988D10">
                <wp:extent cx="3714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 xml:space="preserve">Rzepiennik </w: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Strzyżewski</w:t>
          </w:r>
        </w:p>
      </w:tc>
      <w:tc>
        <w:tcPr>
          <w:tcW w:w="1602" w:type="dxa"/>
          <w:tcBorders>
            <w:top w:val="single" w:sz="4" w:space="0" w:color="auto"/>
          </w:tcBorders>
        </w:tcPr>
        <w:p w14:paraId="250F77F0" w14:textId="77777777" w:rsidR="00641F65" w:rsidRDefault="00641F65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</w:tr>
    <w:tr w:rsidR="00641F65" w:rsidRPr="00C6728F" w14:paraId="64CCCDDB" w14:textId="77777777" w:rsidTr="005135D0">
      <w:trPr>
        <w:trHeight w:val="564"/>
      </w:trPr>
      <w:tc>
        <w:tcPr>
          <w:tcW w:w="9854" w:type="dxa"/>
          <w:gridSpan w:val="6"/>
        </w:tcPr>
        <w:p w14:paraId="03ECA6F7" w14:textId="77777777" w:rsidR="00641F65" w:rsidRPr="00C6728F" w:rsidRDefault="00641F65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</w:p>
        <w:p w14:paraId="28CE0B34" w14:textId="77777777" w:rsidR="00641F65" w:rsidRPr="00BB08FD" w:rsidRDefault="00641F65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  <w:lang w:val="pl-PL"/>
            </w:rPr>
            <w:t>Spółka Komunalna „Dorzecze Białej” Spółka z o.o., ul. Jana III Sobieskiego 69C, 33-170 Tuchów</w:t>
          </w:r>
        </w:p>
        <w:p w14:paraId="03908995" w14:textId="77777777" w:rsidR="00641F65" w:rsidRPr="00BB08FD" w:rsidRDefault="00641F65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>Sąd Rejonowy dla Krakowa – Śródmieścia w Krakowie, XII Wydział Gospodarczy Krajowego Rejestru Sądowego</w:t>
          </w:r>
        </w:p>
        <w:p w14:paraId="5AFADBBD" w14:textId="77777777" w:rsidR="00641F65" w:rsidRPr="002A7E9A" w:rsidRDefault="00641F65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KRS: 0000218925 - Kapitał zakładowy: 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>53 07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4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 xml:space="preserve"> 000,00</w:t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 PLN </w:t>
          </w:r>
          <w:r w:rsidRPr="00BB08FD">
            <w:rPr>
              <w:rFonts w:ascii="Tahoma" w:hAnsi="Tahoma" w:cs="Tahoma"/>
              <w:sz w:val="16"/>
              <w:szCs w:val="16"/>
            </w:rPr>
            <w:t>NIP: 993-04-06-600 REGON: 852747825</w:t>
          </w:r>
        </w:p>
      </w:tc>
    </w:tr>
  </w:tbl>
  <w:p w14:paraId="20022F7D" w14:textId="77777777" w:rsidR="00641F65" w:rsidRPr="002A7E9A" w:rsidRDefault="00641F65" w:rsidP="00582461">
    <w:pPr>
      <w:pStyle w:val="Stopka"/>
      <w:rPr>
        <w:sz w:val="2"/>
        <w:szCs w:val="2"/>
      </w:rPr>
    </w:pPr>
  </w:p>
  <w:p w14:paraId="0EE49B97" w14:textId="77777777" w:rsidR="00641F65" w:rsidRPr="00582461" w:rsidRDefault="00641F65" w:rsidP="0058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870D" w14:textId="77777777" w:rsidR="00641F65" w:rsidRDefault="00641F65" w:rsidP="00641F65">
      <w:pPr>
        <w:spacing w:after="0" w:line="240" w:lineRule="auto"/>
      </w:pPr>
      <w:r>
        <w:separator/>
      </w:r>
    </w:p>
  </w:footnote>
  <w:footnote w:type="continuationSeparator" w:id="0">
    <w:p w14:paraId="0F4EBF05" w14:textId="77777777" w:rsidR="00641F65" w:rsidRDefault="00641F65" w:rsidP="00641F65">
      <w:pPr>
        <w:spacing w:after="0" w:line="240" w:lineRule="auto"/>
      </w:pPr>
      <w:r>
        <w:continuationSeparator/>
      </w:r>
    </w:p>
  </w:footnote>
  <w:footnote w:id="1">
    <w:p w14:paraId="2674506E" w14:textId="77777777" w:rsidR="00641F65" w:rsidRPr="00FC7778" w:rsidRDefault="00641F65" w:rsidP="00641F65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2">
    <w:p w14:paraId="573E4A60" w14:textId="77777777" w:rsidR="00641F65" w:rsidRPr="00FC7778" w:rsidRDefault="00641F65" w:rsidP="00641F65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3">
    <w:p w14:paraId="0BB82A7B" w14:textId="77777777" w:rsidR="00641F65" w:rsidRPr="00B71299" w:rsidRDefault="00641F65" w:rsidP="00641F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4786"/>
      <w:gridCol w:w="5068"/>
    </w:tblGrid>
    <w:tr w:rsidR="00641F65" w14:paraId="17219867" w14:textId="77777777" w:rsidTr="005135D0">
      <w:tc>
        <w:tcPr>
          <w:tcW w:w="4786" w:type="dxa"/>
        </w:tcPr>
        <w:p w14:paraId="512B62AC" w14:textId="77777777" w:rsidR="00641F65" w:rsidRPr="00BB08FD" w:rsidRDefault="00641F65" w:rsidP="005135D0">
          <w:pPr>
            <w:pStyle w:val="Stopka"/>
            <w:snapToGrid w:val="0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 xml:space="preserve">Spółka Komunalna </w:t>
          </w:r>
          <w:r w:rsidRPr="00BB08FD">
            <w:rPr>
              <w:rFonts w:ascii="Tahoma" w:hAnsi="Tahoma" w:cs="Tahoma"/>
              <w:b/>
              <w:sz w:val="16"/>
              <w:szCs w:val="16"/>
            </w:rPr>
            <w:t xml:space="preserve">DORZECZE BIAŁEJ </w:t>
          </w:r>
          <w:r w:rsidRPr="00BB08FD">
            <w:rPr>
              <w:rFonts w:ascii="Tahoma" w:hAnsi="Tahoma" w:cs="Tahoma"/>
              <w:sz w:val="16"/>
              <w:szCs w:val="16"/>
            </w:rPr>
            <w:t>Spółka z o.o.</w:t>
          </w:r>
        </w:p>
        <w:p w14:paraId="08752EF0" w14:textId="77777777" w:rsidR="00641F65" w:rsidRPr="00BB08FD" w:rsidRDefault="00641F65" w:rsidP="005135D0">
          <w:pPr>
            <w:pStyle w:val="Nagwek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ul. Jana III Sobieskiego 69C, 33-170 Tuchów</w:t>
          </w:r>
          <w:r w:rsidRPr="00BB08FD">
            <w:rPr>
              <w:rFonts w:ascii="Tahoma" w:hAnsi="Tahoma" w:cs="Tahoma"/>
              <w:sz w:val="16"/>
              <w:szCs w:val="16"/>
            </w:rPr>
            <w:br/>
            <w:t xml:space="preserve">tel. 014 </w:t>
          </w:r>
          <w:r w:rsidRPr="00BB08FD">
            <w:rPr>
              <w:rFonts w:ascii="Tahoma" w:hAnsi="Tahoma" w:cs="Tahoma"/>
              <w:sz w:val="16"/>
              <w:szCs w:val="16"/>
              <w:lang w:val="pl-PL"/>
            </w:rPr>
            <w:t>62-10-562  faks. 014 62-10-564</w:t>
          </w:r>
        </w:p>
        <w:p w14:paraId="1296677C" w14:textId="77777777" w:rsidR="00641F65" w:rsidRPr="0010417D" w:rsidRDefault="00641F65" w:rsidP="005135D0">
          <w:pPr>
            <w:pStyle w:val="Nagwek"/>
            <w:rPr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www.dorzeczebialej.pl   biuro@dorzeczebialej.pl</w:t>
          </w:r>
        </w:p>
      </w:tc>
      <w:tc>
        <w:tcPr>
          <w:tcW w:w="5068" w:type="dxa"/>
        </w:tcPr>
        <w:p w14:paraId="2F0CBFAA" w14:textId="77777777" w:rsidR="00641F65" w:rsidRDefault="00641F65" w:rsidP="005135D0">
          <w:pPr>
            <w:pStyle w:val="Nagwek"/>
            <w:snapToGrid w:val="0"/>
            <w:jc w:val="right"/>
          </w:pPr>
          <w:r>
            <w:object w:dxaOrig="7875" w:dyaOrig="1965" w14:anchorId="33426F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1" type="#_x0000_t75" style="width:159pt;height:39.75pt">
                <v:imagedata r:id="rId1" o:title=""/>
              </v:shape>
              <o:OLEObject Type="Embed" ProgID="PBrush" ShapeID="_x0000_i1071" DrawAspect="Content" ObjectID="_1669540493" r:id="rId2"/>
            </w:object>
          </w:r>
        </w:p>
      </w:tc>
    </w:tr>
  </w:tbl>
  <w:p w14:paraId="7EE0715E" w14:textId="77777777" w:rsidR="00641F65" w:rsidRPr="00582461" w:rsidRDefault="00641F65" w:rsidP="005824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D18"/>
    <w:multiLevelType w:val="hybridMultilevel"/>
    <w:tmpl w:val="A3E28F3E"/>
    <w:lvl w:ilvl="0" w:tplc="68A4E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87C"/>
    <w:multiLevelType w:val="hybridMultilevel"/>
    <w:tmpl w:val="DF705BD6"/>
    <w:lvl w:ilvl="0" w:tplc="5CE2CD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65"/>
    <w:rsid w:val="00132331"/>
    <w:rsid w:val="006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D7B"/>
  <w15:chartTrackingRefBased/>
  <w15:docId w15:val="{FF758BA8-09CD-4BD8-97B4-58FDADB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64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641F6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uiPriority w:val="99"/>
    <w:rsid w:val="00641F65"/>
    <w:rPr>
      <w:rFonts w:ascii="Arial Black" w:hAnsi="Arial Black" w:cs="Arial Black"/>
      <w:i/>
      <w:iCs/>
      <w:color w:val="000000"/>
      <w:spacing w:val="-20"/>
      <w:sz w:val="18"/>
      <w:szCs w:val="18"/>
    </w:rPr>
  </w:style>
  <w:style w:type="character" w:customStyle="1" w:styleId="FontStyle33">
    <w:name w:val="Font Style33"/>
    <w:uiPriority w:val="99"/>
    <w:rsid w:val="00641F6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5">
    <w:name w:val="Font Style35"/>
    <w:uiPriority w:val="99"/>
    <w:rsid w:val="00641F65"/>
    <w:rPr>
      <w:rFonts w:ascii="Times New Roman" w:hAnsi="Times New Roman" w:cs="Times New Roman"/>
      <w:color w:val="000000"/>
      <w:spacing w:val="70"/>
      <w:sz w:val="28"/>
      <w:szCs w:val="28"/>
    </w:rPr>
  </w:style>
  <w:style w:type="character" w:customStyle="1" w:styleId="FontStyle42">
    <w:name w:val="Font Style42"/>
    <w:uiPriority w:val="99"/>
    <w:rsid w:val="00641F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3">
    <w:name w:val="Font Style43"/>
    <w:uiPriority w:val="99"/>
    <w:rsid w:val="00641F6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uiPriority w:val="99"/>
    <w:rsid w:val="00641F65"/>
    <w:rPr>
      <w:rFonts w:ascii="Tahoma" w:hAnsi="Tahoma" w:cs="Tahoma"/>
      <w:i/>
      <w:iCs/>
      <w:color w:val="000000"/>
      <w:sz w:val="10"/>
      <w:szCs w:val="10"/>
    </w:rPr>
  </w:style>
  <w:style w:type="character" w:styleId="Hipercze">
    <w:name w:val="Hyperlink"/>
    <w:uiPriority w:val="99"/>
    <w:rsid w:val="00641F65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F6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1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41F6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1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41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41F6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F65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641F65"/>
    <w:rPr>
      <w:vertAlign w:val="superscript"/>
    </w:rPr>
  </w:style>
  <w:style w:type="paragraph" w:styleId="Bezodstpw">
    <w:name w:val="No Spacing"/>
    <w:uiPriority w:val="1"/>
    <w:qFormat/>
    <w:rsid w:val="00641F6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2020-12-15T11:26:00Z</dcterms:created>
  <dcterms:modified xsi:type="dcterms:W3CDTF">2020-12-15T11:28:00Z</dcterms:modified>
</cp:coreProperties>
</file>