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3BD0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Hlk26183237"/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>załącznik nr 1</w:t>
      </w:r>
    </w:p>
    <w:p w14:paraId="639983C3" w14:textId="77777777" w:rsidR="001572A0" w:rsidRPr="00377457" w:rsidRDefault="001572A0" w:rsidP="001572A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360AA95" w14:textId="77777777" w:rsidR="001572A0" w:rsidRPr="00BA3205" w:rsidRDefault="001572A0" w:rsidP="001572A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7E7CC854" w14:textId="77777777" w:rsidR="001572A0" w:rsidRPr="00AD073D" w:rsidRDefault="001572A0" w:rsidP="001572A0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E263B8">
        <w:rPr>
          <w:rFonts w:ascii="Tahoma" w:hAnsi="Tahoma" w:cs="Tahoma"/>
        </w:rPr>
        <w:t>DIR/871/</w:t>
      </w:r>
      <w:proofErr w:type="spellStart"/>
      <w:r w:rsidRPr="00E263B8">
        <w:rPr>
          <w:rFonts w:ascii="Tahoma" w:hAnsi="Tahoma" w:cs="Tahoma"/>
        </w:rPr>
        <w:t>AGi</w:t>
      </w:r>
      <w:proofErr w:type="spellEnd"/>
      <w:r w:rsidRPr="00E263B8">
        <w:rPr>
          <w:rFonts w:ascii="Tahoma" w:hAnsi="Tahoma" w:cs="Tahoma"/>
        </w:rPr>
        <w:t>/ZO/32/11/2020/1440</w:t>
      </w:r>
    </w:p>
    <w:p w14:paraId="141E332F" w14:textId="77777777" w:rsidR="001572A0" w:rsidRPr="009E23B4" w:rsidRDefault="001572A0" w:rsidP="001572A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59E3E81" w14:textId="77777777" w:rsidR="001572A0" w:rsidRPr="009E23B4" w:rsidRDefault="001572A0" w:rsidP="001572A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02D0D00E" w14:textId="77777777" w:rsidR="001572A0" w:rsidRPr="009E23B4" w:rsidRDefault="001572A0" w:rsidP="001572A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1FCA5FDC" w14:textId="77777777" w:rsidR="001572A0" w:rsidRPr="009E23B4" w:rsidRDefault="001572A0" w:rsidP="001572A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31CC4C4C" w14:textId="77777777" w:rsidR="001572A0" w:rsidRPr="009E23B4" w:rsidRDefault="001572A0" w:rsidP="001572A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0597D422" w14:textId="77777777" w:rsidR="001572A0" w:rsidRPr="009E23B4" w:rsidRDefault="001572A0" w:rsidP="001572A0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CB1CBA2" w14:textId="0F20DDEC" w:rsidR="001572A0" w:rsidRDefault="001572A0" w:rsidP="001572A0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wykonanie okresowego </w:t>
      </w:r>
      <w:r w:rsidRPr="00E263B8">
        <w:rPr>
          <w:rFonts w:ascii="Tahoma" w:hAnsi="Tahoma" w:cs="Tahoma"/>
          <w:b/>
          <w:bCs/>
          <w:sz w:val="22"/>
          <w:szCs w:val="22"/>
        </w:rPr>
        <w:t>(rocznego)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przeglądu stanu technicznego obiektów kubaturowych będących w zarządzaniu Spółk</w:t>
      </w:r>
      <w:r>
        <w:rPr>
          <w:rFonts w:ascii="Tahoma" w:hAnsi="Tahoma" w:cs="Tahoma"/>
          <w:b/>
          <w:bCs/>
          <w:sz w:val="22"/>
          <w:szCs w:val="22"/>
        </w:rPr>
        <w:t>i Komunalnej „Dorzecze  Białej”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Sp. z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o.o.  zgodnie z art. 62 ust 1 pkt. 1 ustawy </w:t>
      </w:r>
      <w:r>
        <w:rPr>
          <w:rFonts w:ascii="Tahoma" w:hAnsi="Tahoma" w:cs="Tahoma"/>
          <w:b/>
          <w:bCs/>
          <w:sz w:val="22"/>
          <w:szCs w:val="22"/>
        </w:rPr>
        <w:t>„</w:t>
      </w:r>
      <w:r w:rsidRPr="009E23B4">
        <w:rPr>
          <w:rFonts w:ascii="Tahoma" w:hAnsi="Tahoma" w:cs="Tahoma"/>
          <w:b/>
          <w:bCs/>
          <w:sz w:val="22"/>
          <w:szCs w:val="22"/>
        </w:rPr>
        <w:t>Prawo Budowlane</w:t>
      </w:r>
      <w:r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3BDDD0EE" w14:textId="77777777" w:rsidR="001572A0" w:rsidRPr="005A5F65" w:rsidRDefault="001572A0" w:rsidP="001572A0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1572A0" w:rsidRPr="009E23B4" w14:paraId="564091D8" w14:textId="77777777" w:rsidTr="000C2162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A51473" w14:textId="77777777" w:rsidR="001572A0" w:rsidRPr="00B44AB4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AB4">
              <w:rPr>
                <w:rFonts w:ascii="Tahoma" w:hAnsi="Tahoma" w:cs="Tahoma"/>
                <w:b/>
                <w:bCs/>
                <w:sz w:val="20"/>
                <w:szCs w:val="20"/>
              </w:rPr>
              <w:t>Obiekty objęte przeglądem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0E5F63" w14:textId="77777777" w:rsidR="001572A0" w:rsidRPr="00852D37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14:paraId="796E2A1C" w14:textId="77777777" w:rsidR="001572A0" w:rsidRPr="00852D37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852D37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526983" w14:textId="77777777" w:rsidR="001572A0" w:rsidRPr="00852D37" w:rsidRDefault="001572A0" w:rsidP="000C216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14:paraId="7EA68B72" w14:textId="77777777" w:rsidR="001572A0" w:rsidRPr="00852D37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1572A0" w:rsidRPr="009E23B4" w14:paraId="28367020" w14:textId="77777777" w:rsidTr="000C2162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27E802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Burzyn </w:t>
            </w: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9E23B4">
              <w:rPr>
                <w:rFonts w:ascii="Tahoma" w:hAnsi="Tahoma" w:cs="Tahoma"/>
                <w:sz w:val="22"/>
                <w:szCs w:val="22"/>
              </w:rPr>
              <w:t>Witalis</w:t>
            </w:r>
            <w:r>
              <w:rPr>
                <w:rFonts w:ascii="Tahoma" w:hAnsi="Tahoma" w:cs="Tahoma"/>
                <w:sz w:val="22"/>
                <w:szCs w:val="22"/>
              </w:rPr>
              <w:t>”.</w:t>
            </w:r>
          </w:p>
          <w:p w14:paraId="43FC54B7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Burzyn </w:t>
            </w: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9E23B4">
              <w:rPr>
                <w:rFonts w:ascii="Tahoma" w:hAnsi="Tahoma" w:cs="Tahoma"/>
                <w:sz w:val="22"/>
                <w:szCs w:val="22"/>
              </w:rPr>
              <w:t>Leśniczówka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24ACEF7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Kielanowice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F2B571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Piotrkowice.</w:t>
            </w:r>
          </w:p>
          <w:p w14:paraId="5C27967A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P2.</w:t>
            </w:r>
          </w:p>
          <w:p w14:paraId="75C4ABC5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6.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P1.</w:t>
            </w:r>
          </w:p>
          <w:p w14:paraId="14FEA286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7.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Tuchów </w:t>
            </w: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9E23B4">
              <w:rPr>
                <w:rFonts w:ascii="Tahoma" w:hAnsi="Tahoma" w:cs="Tahoma"/>
                <w:sz w:val="22"/>
                <w:szCs w:val="22"/>
              </w:rPr>
              <w:t>Garbek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7ADAF32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8.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D26D3B4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Meszna Opacka.</w:t>
            </w:r>
          </w:p>
          <w:p w14:paraId="45945F41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10.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Siedliska </w:t>
            </w: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9E23B4">
              <w:rPr>
                <w:rFonts w:ascii="Tahoma" w:hAnsi="Tahoma" w:cs="Tahoma"/>
                <w:sz w:val="22"/>
                <w:szCs w:val="22"/>
              </w:rPr>
              <w:t>Gace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81729A9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Magazyn chemikaliów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BA62B8F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awaryjna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10E1EDC3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wody surowej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466AF907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Stacja Uzdatniania Wody 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Lubaszowej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(budynek administracyjno- technologiczny)</w:t>
            </w:r>
          </w:p>
          <w:p w14:paraId="10E05B4F" w14:textId="77777777" w:rsidR="001572A0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Pompownia główna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(stacja filtrów</w:t>
            </w:r>
            <w:r>
              <w:rPr>
                <w:rFonts w:ascii="Tahoma" w:hAnsi="Tahoma" w:cs="Tahoma"/>
                <w:sz w:val="22"/>
                <w:szCs w:val="22"/>
              </w:rPr>
              <w:t xml:space="preserve"> kontener</w:t>
            </w:r>
            <w:r w:rsidRPr="009E23B4">
              <w:rPr>
                <w:rFonts w:ascii="Tahoma" w:hAnsi="Tahoma" w:cs="Tahoma"/>
                <w:sz w:val="22"/>
                <w:szCs w:val="22"/>
              </w:rPr>
              <w:t>) SUW Ciężkowice.</w:t>
            </w:r>
          </w:p>
          <w:p w14:paraId="0A1BB068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Budynek socjalno- techniczny SUW Ciężkowice.</w:t>
            </w:r>
          </w:p>
          <w:p w14:paraId="634B3CED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Zbiornik wyrównawczy SUW Ciężkowice. </w:t>
            </w:r>
          </w:p>
          <w:p w14:paraId="586D444F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Budynek techniczny z pompownią ścieków i  stacją </w:t>
            </w:r>
            <w:r w:rsidRPr="009E23B4">
              <w:rPr>
                <w:rFonts w:ascii="Tahoma" w:hAnsi="Tahoma" w:cs="Tahoma"/>
                <w:sz w:val="22"/>
                <w:szCs w:val="22"/>
              </w:rPr>
              <w:lastRenderedPageBreak/>
              <w:t>dmuchaw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OŚ Ciężkowice.</w:t>
            </w:r>
          </w:p>
          <w:p w14:paraId="72E28055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Blok mechanicznego oczyszczania ścieków, zbiornik uśredniający, zagęszczacz osadu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E23B4">
              <w:rPr>
                <w:rFonts w:ascii="Tahoma" w:hAnsi="Tahoma" w:cs="Tahoma"/>
                <w:sz w:val="22"/>
                <w:szCs w:val="22"/>
              </w:rPr>
              <w:t>zbiornik 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stabilizowania osadu – OŚ Ciężkowice.</w:t>
            </w:r>
          </w:p>
          <w:p w14:paraId="766243D2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Zblokowany reaktor SBR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14:paraId="32D0D4BD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Stacja odwadniania osadu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14:paraId="107E1D78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Oczyszczalnia Bogoniowice.</w:t>
            </w:r>
          </w:p>
          <w:p w14:paraId="513D5105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9E23B4">
              <w:rPr>
                <w:rFonts w:ascii="Tahoma" w:hAnsi="Tahoma" w:cs="Tahoma"/>
                <w:sz w:val="22"/>
                <w:szCs w:val="22"/>
              </w:rPr>
              <w:t>. Stacja dmuchaw-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sitopiaskowniki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Tuchów. </w:t>
            </w:r>
          </w:p>
          <w:p w14:paraId="385A1125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9E23B4">
              <w:rPr>
                <w:rFonts w:ascii="Tahoma" w:hAnsi="Tahoma" w:cs="Tahoma"/>
                <w:sz w:val="22"/>
                <w:szCs w:val="22"/>
              </w:rPr>
              <w:t>. Budynek zasilania energetycznego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- Tuchów. </w:t>
            </w:r>
          </w:p>
          <w:p w14:paraId="72509A98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Budynek stacji mechanicznego zagęszczania 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i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odwadniania osadu. </w:t>
            </w:r>
          </w:p>
          <w:p w14:paraId="1947B77A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Suszarnia osadów. </w:t>
            </w:r>
          </w:p>
          <w:p w14:paraId="6F567957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Budynek socjalno-techniczny i garaże. </w:t>
            </w:r>
          </w:p>
          <w:p w14:paraId="6379FD62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Jodłówka Tuchowska P3. </w:t>
            </w:r>
          </w:p>
          <w:p w14:paraId="59FA7F54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9E23B4">
              <w:rPr>
                <w:rFonts w:ascii="Tahoma" w:hAnsi="Tahoma" w:cs="Tahoma"/>
                <w:sz w:val="22"/>
                <w:szCs w:val="22"/>
              </w:rPr>
              <w:t>. Zbiornik wyrównawczy Jodłówka Tuchowska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Sołtysia Góra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9F3947A" w14:textId="77777777" w:rsidR="001572A0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9E23B4">
              <w:rPr>
                <w:rFonts w:ascii="Tahoma" w:hAnsi="Tahoma" w:cs="Tahoma"/>
                <w:sz w:val="22"/>
                <w:szCs w:val="22"/>
              </w:rPr>
              <w:t>. Hydrofornia Rzepiennik Strzyżewski.</w:t>
            </w:r>
          </w:p>
          <w:p w14:paraId="1093F9CB" w14:textId="77777777" w:rsidR="001572A0" w:rsidRDefault="001572A0" w:rsidP="000C21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 Hydrofornia Bistuszowa.</w:t>
            </w:r>
          </w:p>
          <w:p w14:paraId="17E2A2C3" w14:textId="77777777" w:rsidR="001572A0" w:rsidRPr="009E23B4" w:rsidRDefault="001572A0" w:rsidP="000C2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 Hydrofornia Kowalowa.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8AC74A" w14:textId="77777777" w:rsidR="001572A0" w:rsidRPr="009E23B4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0C416B" w14:textId="77777777" w:rsidR="001572A0" w:rsidRPr="009E23B4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1572A0" w:rsidRPr="009E23B4" w14:paraId="6145CF88" w14:textId="77777777" w:rsidTr="000C2162">
        <w:trPr>
          <w:trHeight w:val="357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7855B0" w14:textId="77777777" w:rsidR="001572A0" w:rsidRPr="0040144A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40144A">
              <w:rPr>
                <w:rFonts w:ascii="Tahoma" w:hAnsi="Tahoma" w:cs="Tahoma"/>
                <w:b/>
                <w:bCs/>
                <w:sz w:val="22"/>
                <w:szCs w:val="22"/>
              </w:rPr>
              <w:t>SUMA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7C2783" w14:textId="77777777" w:rsidR="001572A0" w:rsidRPr="009E23B4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4BFFB" w14:textId="77777777" w:rsidR="001572A0" w:rsidRPr="009E23B4" w:rsidRDefault="001572A0" w:rsidP="000C21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4E377BF5" w14:textId="77777777" w:rsidR="001572A0" w:rsidRPr="009E23B4" w:rsidRDefault="001572A0" w:rsidP="001572A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/>
        </w:rPr>
      </w:pPr>
    </w:p>
    <w:p w14:paraId="419B40E4" w14:textId="77777777" w:rsidR="001572A0" w:rsidRPr="009E23B4" w:rsidRDefault="001572A0" w:rsidP="001572A0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Razem – c</w:t>
      </w:r>
      <w:r w:rsidRPr="009E23B4">
        <w:rPr>
          <w:rFonts w:ascii="Tahoma" w:hAnsi="Tahoma" w:cs="Tahoma"/>
          <w:b/>
          <w:bCs/>
          <w:sz w:val="22"/>
          <w:szCs w:val="22"/>
        </w:rPr>
        <w:t>ałość</w:t>
      </w:r>
      <w:r>
        <w:rPr>
          <w:rFonts w:ascii="Tahoma" w:hAnsi="Tahoma" w:cs="Tahoma"/>
          <w:b/>
          <w:bCs/>
          <w:sz w:val="22"/>
          <w:szCs w:val="22"/>
        </w:rPr>
        <w:t xml:space="preserve"> za wszystkie obiekty</w:t>
      </w:r>
      <w:r w:rsidRPr="009E23B4">
        <w:rPr>
          <w:rFonts w:ascii="Tahoma" w:hAnsi="Tahoma" w:cs="Tahoma"/>
          <w:b/>
          <w:bCs/>
          <w:sz w:val="22"/>
          <w:szCs w:val="22"/>
        </w:rPr>
        <w:t>:</w:t>
      </w:r>
    </w:p>
    <w:p w14:paraId="7C155154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58DDEFF0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554A9DBB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2A91FD14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3DA6C28E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418296B4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9DC5E6B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261EFF59" w14:textId="77777777" w:rsidR="001572A0" w:rsidRPr="009E23B4" w:rsidRDefault="001572A0" w:rsidP="001572A0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0E36AFF5" w14:textId="77777777" w:rsidR="001572A0" w:rsidRDefault="001572A0" w:rsidP="001572A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63090D70" w14:textId="77777777" w:rsidR="001572A0" w:rsidRPr="009E23B4" w:rsidRDefault="001572A0" w:rsidP="001572A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6D556DCE" w14:textId="77777777" w:rsidR="001572A0" w:rsidRPr="00311BA9" w:rsidRDefault="001572A0" w:rsidP="001572A0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01627C2A" w14:textId="77777777" w:rsidR="001572A0" w:rsidRPr="00311BA9" w:rsidRDefault="001572A0" w:rsidP="001572A0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 wykonam przeglądy stanu technicznego w/w obiektów </w:t>
      </w:r>
      <w:r>
        <w:rPr>
          <w:rFonts w:ascii="Tahoma" w:hAnsi="Tahoma" w:cs="Tahoma"/>
          <w:sz w:val="22"/>
          <w:szCs w:val="22"/>
        </w:rPr>
        <w:br/>
      </w:r>
      <w:r w:rsidRPr="001746ED">
        <w:rPr>
          <w:rFonts w:ascii="Tahoma" w:hAnsi="Tahoma" w:cs="Tahoma"/>
          <w:b/>
          <w:bCs/>
          <w:sz w:val="22"/>
          <w:szCs w:val="22"/>
        </w:rPr>
        <w:t>do</w:t>
      </w:r>
      <w:r w:rsidRPr="00311BA9">
        <w:rPr>
          <w:rFonts w:ascii="Tahoma" w:hAnsi="Tahoma" w:cs="Tahoma"/>
          <w:sz w:val="22"/>
          <w:szCs w:val="22"/>
        </w:rPr>
        <w:t xml:space="preserve"> </w:t>
      </w:r>
      <w:r w:rsidRPr="000403A3">
        <w:rPr>
          <w:rFonts w:ascii="Tahoma" w:hAnsi="Tahoma" w:cs="Tahoma"/>
          <w:b/>
          <w:sz w:val="22"/>
          <w:szCs w:val="22"/>
        </w:rPr>
        <w:t>31.12.20</w:t>
      </w:r>
      <w:r>
        <w:rPr>
          <w:rFonts w:ascii="Tahoma" w:hAnsi="Tahoma" w:cs="Tahoma"/>
          <w:b/>
          <w:sz w:val="22"/>
          <w:szCs w:val="22"/>
        </w:rPr>
        <w:t>20r</w:t>
      </w:r>
      <w:r w:rsidRPr="000403A3">
        <w:rPr>
          <w:rFonts w:ascii="Tahoma" w:hAnsi="Tahoma" w:cs="Tahoma"/>
          <w:b/>
          <w:sz w:val="22"/>
          <w:szCs w:val="22"/>
        </w:rPr>
        <w:t>.</w:t>
      </w:r>
    </w:p>
    <w:p w14:paraId="3A420258" w14:textId="77777777" w:rsidR="001572A0" w:rsidRPr="00311BA9" w:rsidRDefault="001572A0" w:rsidP="001572A0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W przypadku wyboru mojej oferty podpiszę umowę na warunkach nie mniej korzystnych dla Zamawiającego, w terminie zaproponowanym przez Zamawiającego.</w:t>
      </w:r>
    </w:p>
    <w:p w14:paraId="1160AE75" w14:textId="77777777" w:rsidR="001572A0" w:rsidRPr="00311BA9" w:rsidRDefault="001572A0" w:rsidP="001572A0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</w:p>
    <w:p w14:paraId="45117E31" w14:textId="77777777" w:rsidR="001572A0" w:rsidRDefault="001572A0" w:rsidP="001572A0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311BA9">
        <w:rPr>
          <w:rFonts w:ascii="Tahoma" w:hAnsi="Tahoma" w:cs="Tahoma"/>
          <w:sz w:val="22"/>
          <w:szCs w:val="22"/>
        </w:rPr>
        <w:t>wykonywania tego rodzaju prac.</w:t>
      </w:r>
    </w:p>
    <w:p w14:paraId="4B2306C6" w14:textId="77777777" w:rsidR="001572A0" w:rsidRPr="00703B48" w:rsidRDefault="001572A0" w:rsidP="001572A0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lastRenderedPageBreak/>
        <w:t>Oświadczam, że nie pozostaję w zależności lub dominacji w stosunku do innych podmiotów ubiegających się o udzielenie powyższego zamówienia lub Zamawiającym.</w:t>
      </w:r>
    </w:p>
    <w:p w14:paraId="19C7C621" w14:textId="77777777" w:rsidR="001572A0" w:rsidRPr="0070259B" w:rsidRDefault="001572A0" w:rsidP="001572A0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4"/>
      </w:r>
    </w:p>
    <w:p w14:paraId="20089E8E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05B77AC4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AED6820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30C072EF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</w:p>
    <w:bookmarkEnd w:id="0"/>
    <w:p w14:paraId="62061676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</w:p>
    <w:p w14:paraId="1E988C54" w14:textId="77777777" w:rsidR="001572A0" w:rsidRDefault="001572A0" w:rsidP="001572A0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</w:p>
    <w:p w14:paraId="35439355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5244" w14:textId="77777777" w:rsidR="001572A0" w:rsidRDefault="001572A0" w:rsidP="001572A0">
      <w:r>
        <w:separator/>
      </w:r>
    </w:p>
  </w:endnote>
  <w:endnote w:type="continuationSeparator" w:id="0">
    <w:p w14:paraId="06B13D6D" w14:textId="77777777" w:rsidR="001572A0" w:rsidRDefault="001572A0" w:rsidP="001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2D4E" w14:textId="77777777" w:rsidR="001572A0" w:rsidRDefault="001572A0" w:rsidP="001572A0">
      <w:r>
        <w:separator/>
      </w:r>
    </w:p>
  </w:footnote>
  <w:footnote w:type="continuationSeparator" w:id="0">
    <w:p w14:paraId="14CF1C5E" w14:textId="77777777" w:rsidR="001572A0" w:rsidRDefault="001572A0" w:rsidP="001572A0">
      <w:r>
        <w:continuationSeparator/>
      </w:r>
    </w:p>
  </w:footnote>
  <w:footnote w:id="1">
    <w:p w14:paraId="5D4C35BA" w14:textId="77777777" w:rsidR="001572A0" w:rsidRPr="00785E53" w:rsidRDefault="001572A0" w:rsidP="001572A0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wpisać w niniejszą tabelę ceny jednostkowe dla poszczególnych obiektów lub jedną cenę (kwotę) za wykonanie przeglądu wszystkich obiektów tj. za 32 obiekty łącznie (komplet). </w:t>
      </w:r>
    </w:p>
  </w:footnote>
  <w:footnote w:id="2">
    <w:p w14:paraId="4FB5F7C9" w14:textId="77777777" w:rsidR="001572A0" w:rsidRPr="00A765E0" w:rsidRDefault="001572A0" w:rsidP="001572A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3">
    <w:p w14:paraId="12EFC459" w14:textId="77777777" w:rsidR="001572A0" w:rsidRPr="00A04D8C" w:rsidRDefault="001572A0" w:rsidP="001572A0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34C3425" w14:textId="77777777" w:rsidR="001572A0" w:rsidRDefault="001572A0" w:rsidP="001572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A0"/>
    <w:rsid w:val="00132331"/>
    <w:rsid w:val="001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E8D"/>
  <w15:chartTrackingRefBased/>
  <w15:docId w15:val="{63335F3C-9454-461F-A52B-8A3F059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572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2A0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57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2020-11-10T09:48:00Z</dcterms:created>
  <dcterms:modified xsi:type="dcterms:W3CDTF">2020-11-10T09:49:00Z</dcterms:modified>
</cp:coreProperties>
</file>